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71EA7" w14:textId="47F1E931" w:rsidR="00E321E7" w:rsidRPr="00BC2BD6" w:rsidRDefault="00432CFF">
      <w:pPr>
        <w:rPr>
          <w:rFonts w:ascii="Times New Roman" w:hAnsi="Times New Roman" w:cs="Times New Roman"/>
          <w:b/>
          <w:bCs/>
        </w:rPr>
      </w:pPr>
      <w:r>
        <w:rPr>
          <w:rFonts w:ascii="Times New Roman" w:hAnsi="Times New Roman" w:cs="Times New Roman"/>
          <w:b/>
          <w:bCs/>
          <w:noProof/>
        </w:rPr>
        <w:drawing>
          <wp:anchor distT="0" distB="0" distL="114300" distR="114300" simplePos="0" relativeHeight="251658240" behindDoc="1" locked="0" layoutInCell="1" allowOverlap="1" wp14:anchorId="268BE33B" wp14:editId="4A283F26">
            <wp:simplePos x="0" y="0"/>
            <wp:positionH relativeFrom="column">
              <wp:posOffset>20581</wp:posOffset>
            </wp:positionH>
            <wp:positionV relativeFrom="paragraph">
              <wp:posOffset>72887</wp:posOffset>
            </wp:positionV>
            <wp:extent cx="1696278" cy="773927"/>
            <wp:effectExtent l="0" t="0" r="0" b="1270"/>
            <wp:wrapTight wrapText="bothSides">
              <wp:wrapPolygon edited="0">
                <wp:start x="0" y="0"/>
                <wp:lineTo x="0" y="21281"/>
                <wp:lineTo x="21349" y="21281"/>
                <wp:lineTo x="21349" y="0"/>
                <wp:lineTo x="0"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696278" cy="773927"/>
                    </a:xfrm>
                    <a:prstGeom prst="rect">
                      <a:avLst/>
                    </a:prstGeom>
                  </pic:spPr>
                </pic:pic>
              </a:graphicData>
            </a:graphic>
            <wp14:sizeRelH relativeFrom="page">
              <wp14:pctWidth>0</wp14:pctWidth>
            </wp14:sizeRelH>
            <wp14:sizeRelV relativeFrom="page">
              <wp14:pctHeight>0</wp14:pctHeight>
            </wp14:sizeRelV>
          </wp:anchor>
        </w:drawing>
      </w:r>
      <w:r w:rsidR="006071F3" w:rsidRPr="00BC2BD6">
        <w:rPr>
          <w:rFonts w:ascii="Times New Roman" w:hAnsi="Times New Roman" w:cs="Times New Roman"/>
          <w:b/>
          <w:bCs/>
        </w:rPr>
        <w:t xml:space="preserve">How do we </w:t>
      </w:r>
      <w:r w:rsidR="00BC2BD6">
        <w:rPr>
          <w:rFonts w:ascii="Times New Roman" w:hAnsi="Times New Roman" w:cs="Times New Roman"/>
          <w:b/>
          <w:bCs/>
        </w:rPr>
        <w:t xml:space="preserve">better </w:t>
      </w:r>
      <w:r w:rsidR="006071F3" w:rsidRPr="00BC2BD6">
        <w:rPr>
          <w:rFonts w:ascii="Times New Roman" w:hAnsi="Times New Roman" w:cs="Times New Roman"/>
          <w:b/>
          <w:bCs/>
        </w:rPr>
        <w:t>engage Grove users and others in understanding and advocating for green space in Rochester?</w:t>
      </w:r>
    </w:p>
    <w:p w14:paraId="330A84F2" w14:textId="359AFD4C" w:rsidR="006071F3" w:rsidRPr="00022FC8" w:rsidRDefault="006071F3">
      <w:pPr>
        <w:rPr>
          <w:rFonts w:ascii="Times New Roman" w:hAnsi="Times New Roman" w:cs="Times New Roman"/>
        </w:rPr>
      </w:pPr>
    </w:p>
    <w:p w14:paraId="15F42E18" w14:textId="3445BF14" w:rsidR="006071F3" w:rsidRPr="00022FC8" w:rsidRDefault="006071F3">
      <w:pPr>
        <w:rPr>
          <w:rFonts w:ascii="Times New Roman" w:hAnsi="Times New Roman" w:cs="Times New Roman"/>
        </w:rPr>
      </w:pPr>
      <w:r w:rsidRPr="00022FC8">
        <w:rPr>
          <w:rFonts w:ascii="Times New Roman" w:hAnsi="Times New Roman" w:cs="Times New Roman"/>
        </w:rPr>
        <w:t>Washington Grove’s 26 acres of old growth forest is a “green lung” for the surrounding area, storing CO</w:t>
      </w:r>
      <w:r w:rsidRPr="00022FC8">
        <w:rPr>
          <w:rFonts w:ascii="Times New Roman" w:hAnsi="Times New Roman" w:cs="Times New Roman"/>
          <w:vertAlign w:val="superscript"/>
        </w:rPr>
        <w:t>2</w:t>
      </w:r>
      <w:r w:rsidRPr="00022FC8">
        <w:rPr>
          <w:rFonts w:ascii="Times New Roman" w:hAnsi="Times New Roman" w:cs="Times New Roman"/>
        </w:rPr>
        <w:t xml:space="preserve"> and through photosynthesis providing we humans with oxygen. It, as do all stands of trees, also moderates climate heating, creating an oasis of relative cool during hot spells. Yet it thrives only through volunteer activity. We seek city and county policies that see the value of trees and green space generally to mitigate climate change, but also to promote human health and well-being. We also seek to promote behaviors that take advantage of green space.</w:t>
      </w:r>
    </w:p>
    <w:p w14:paraId="1DF2B5CD" w14:textId="03354022" w:rsidR="006071F3" w:rsidRPr="00022FC8" w:rsidRDefault="006071F3">
      <w:pPr>
        <w:rPr>
          <w:rFonts w:ascii="Times New Roman" w:hAnsi="Times New Roman" w:cs="Times New Roman"/>
        </w:rPr>
      </w:pPr>
    </w:p>
    <w:p w14:paraId="5025741C" w14:textId="77777777" w:rsidR="00022FC8" w:rsidRPr="00022FC8" w:rsidRDefault="006071F3" w:rsidP="00022FC8">
      <w:pPr>
        <w:rPr>
          <w:rFonts w:ascii="Times New Roman" w:hAnsi="Times New Roman" w:cs="Times New Roman"/>
        </w:rPr>
      </w:pPr>
      <w:r w:rsidRPr="00022FC8">
        <w:rPr>
          <w:rFonts w:ascii="Times New Roman" w:hAnsi="Times New Roman" w:cs="Times New Roman"/>
        </w:rPr>
        <w:t>Forest bathing</w:t>
      </w:r>
      <w:r w:rsidR="00022FC8" w:rsidRPr="00022FC8">
        <w:rPr>
          <w:rFonts w:ascii="Times New Roman" w:hAnsi="Times New Roman" w:cs="Times New Roman"/>
        </w:rPr>
        <w:t xml:space="preserve"> or </w:t>
      </w:r>
      <w:proofErr w:type="spellStart"/>
      <w:r w:rsidR="00022FC8" w:rsidRPr="00022FC8">
        <w:rPr>
          <w:rFonts w:ascii="Times New Roman" w:hAnsi="Times New Roman" w:cs="Times New Roman"/>
        </w:rPr>
        <w:t>Shinrin-yoku</w:t>
      </w:r>
      <w:proofErr w:type="spellEnd"/>
      <w:r w:rsidR="00022FC8" w:rsidRPr="00022FC8">
        <w:rPr>
          <w:rFonts w:ascii="Times New Roman" w:hAnsi="Times New Roman" w:cs="Times New Roman"/>
        </w:rPr>
        <w:t xml:space="preserve"> (‘</w:t>
      </w:r>
      <w:proofErr w:type="spellStart"/>
      <w:r w:rsidR="00022FC8" w:rsidRPr="00022FC8">
        <w:rPr>
          <w:rFonts w:ascii="Times New Roman" w:hAnsi="Times New Roman" w:cs="Times New Roman"/>
        </w:rPr>
        <w:t>Shinrin</w:t>
      </w:r>
      <w:proofErr w:type="spellEnd"/>
      <w:r w:rsidR="00022FC8" w:rsidRPr="00022FC8">
        <w:rPr>
          <w:rFonts w:ascii="Times New Roman" w:hAnsi="Times New Roman" w:cs="Times New Roman"/>
        </w:rPr>
        <w:t>’ means forest and ‘</w:t>
      </w:r>
      <w:proofErr w:type="spellStart"/>
      <w:r w:rsidR="00022FC8" w:rsidRPr="00022FC8">
        <w:rPr>
          <w:rFonts w:ascii="Times New Roman" w:hAnsi="Times New Roman" w:cs="Times New Roman"/>
        </w:rPr>
        <w:t>Yoku</w:t>
      </w:r>
      <w:proofErr w:type="spellEnd"/>
      <w:r w:rsidR="00022FC8" w:rsidRPr="00022FC8">
        <w:rPr>
          <w:rFonts w:ascii="Times New Roman" w:hAnsi="Times New Roman" w:cs="Times New Roman"/>
        </w:rPr>
        <w:t>’ stands for bathing)</w:t>
      </w:r>
      <w:r w:rsidRPr="00022FC8">
        <w:rPr>
          <w:rFonts w:ascii="Times New Roman" w:hAnsi="Times New Roman" w:cs="Times New Roman"/>
        </w:rPr>
        <w:t xml:space="preserve"> has it</w:t>
      </w:r>
      <w:r w:rsidR="00022FC8" w:rsidRPr="00022FC8">
        <w:rPr>
          <w:rFonts w:ascii="Times New Roman" w:hAnsi="Times New Roman" w:cs="Times New Roman"/>
        </w:rPr>
        <w:t>s</w:t>
      </w:r>
      <w:r w:rsidRPr="00022FC8">
        <w:rPr>
          <w:rFonts w:ascii="Times New Roman" w:hAnsi="Times New Roman" w:cs="Times New Roman"/>
        </w:rPr>
        <w:t xml:space="preserve"> origins in Japan</w:t>
      </w:r>
      <w:r w:rsidR="00022FC8" w:rsidRPr="00022FC8">
        <w:rPr>
          <w:rFonts w:ascii="Times New Roman" w:hAnsi="Times New Roman" w:cs="Times New Roman"/>
        </w:rPr>
        <w:t>. This</w:t>
      </w:r>
      <w:r w:rsidRPr="00022FC8">
        <w:rPr>
          <w:rFonts w:ascii="Times New Roman" w:hAnsi="Times New Roman" w:cs="Times New Roman"/>
        </w:rPr>
        <w:t xml:space="preserve"> practice of immersing </w:t>
      </w:r>
      <w:r w:rsidR="00022FC8" w:rsidRPr="00022FC8">
        <w:rPr>
          <w:rFonts w:ascii="Times New Roman" w:hAnsi="Times New Roman" w:cs="Times New Roman"/>
        </w:rPr>
        <w:t>one</w:t>
      </w:r>
      <w:r w:rsidRPr="00022FC8">
        <w:rPr>
          <w:rFonts w:ascii="Times New Roman" w:hAnsi="Times New Roman" w:cs="Times New Roman"/>
        </w:rPr>
        <w:t xml:space="preserve">self in nature in a mindful way, benefits </w:t>
      </w:r>
      <w:r w:rsidR="00022FC8" w:rsidRPr="00022FC8">
        <w:rPr>
          <w:rFonts w:ascii="Times New Roman" w:hAnsi="Times New Roman" w:cs="Times New Roman"/>
        </w:rPr>
        <w:t xml:space="preserve">one’s </w:t>
      </w:r>
      <w:r w:rsidRPr="00022FC8">
        <w:rPr>
          <w:rFonts w:ascii="Times New Roman" w:hAnsi="Times New Roman" w:cs="Times New Roman"/>
        </w:rPr>
        <w:t xml:space="preserve">physical, mental, emotional, and social health. </w:t>
      </w:r>
      <w:r w:rsidR="00022FC8" w:rsidRPr="00022FC8">
        <w:rPr>
          <w:rFonts w:ascii="Times New Roman" w:hAnsi="Times New Roman" w:cs="Times New Roman"/>
        </w:rPr>
        <w:t xml:space="preserve">Time spent in Washington Grove attending to the surrounding nature and unplugged from media offers these benefits, but green space in general promotes greater health. </w:t>
      </w:r>
    </w:p>
    <w:p w14:paraId="1A575AA4" w14:textId="77777777" w:rsidR="00022FC8" w:rsidRPr="00022FC8" w:rsidRDefault="00022FC8" w:rsidP="00022FC8">
      <w:pPr>
        <w:rPr>
          <w:rFonts w:ascii="Times New Roman" w:hAnsi="Times New Roman" w:cs="Times New Roman"/>
        </w:rPr>
      </w:pPr>
    </w:p>
    <w:p w14:paraId="05E3BE28" w14:textId="7C58332E" w:rsidR="00022FC8" w:rsidRPr="00022FC8" w:rsidRDefault="00022FC8" w:rsidP="00022FC8">
      <w:pPr>
        <w:rPr>
          <w:rFonts w:ascii="Times New Roman" w:hAnsi="Times New Roman" w:cs="Times New Roman"/>
        </w:rPr>
      </w:pPr>
      <w:r w:rsidRPr="00022FC8">
        <w:rPr>
          <w:rFonts w:ascii="Times New Roman" w:hAnsi="Times New Roman" w:cs="Times New Roman"/>
        </w:rPr>
        <w:t>Those who live in green neighborhoods are less likely to have high blood pressure and cardiovascular disease as well as other health benefits – e.g. better birth outcomes, better immune functioning, enhanced healing after surgery.</w:t>
      </w:r>
      <w:r w:rsidRPr="00022FC8">
        <w:rPr>
          <w:rStyle w:val="EndnoteReference"/>
          <w:rFonts w:ascii="Times New Roman" w:hAnsi="Times New Roman" w:cs="Times New Roman"/>
        </w:rPr>
        <w:endnoteReference w:id="1"/>
      </w:r>
      <w:r w:rsidRPr="00022FC8">
        <w:rPr>
          <w:rFonts w:ascii="Times New Roman" w:hAnsi="Times New Roman" w:cs="Times New Roman"/>
        </w:rPr>
        <w:t xml:space="preserve"> Daily contact with nature can reduce mortality rates; studies have shown that these can be cut in half with greener neighborhoods.</w:t>
      </w:r>
      <w:r w:rsidRPr="00022FC8">
        <w:rPr>
          <w:rStyle w:val="EndnoteReference"/>
          <w:rFonts w:ascii="Times New Roman" w:hAnsi="Times New Roman" w:cs="Times New Roman"/>
        </w:rPr>
        <w:endnoteReference w:id="2"/>
      </w:r>
      <w:r w:rsidRPr="00022FC8">
        <w:rPr>
          <w:rFonts w:ascii="Times New Roman" w:hAnsi="Times New Roman" w:cs="Times New Roman"/>
        </w:rPr>
        <w:t xml:space="preserve">  Green space has also been linked to mental health benefits such as recovery from mental fatigue and reduced stress, which has been documented through environmental psychology.</w:t>
      </w:r>
      <w:r w:rsidRPr="00022FC8">
        <w:rPr>
          <w:rStyle w:val="EndnoteReference"/>
          <w:rFonts w:ascii="Times New Roman" w:hAnsi="Times New Roman" w:cs="Times New Roman"/>
        </w:rPr>
        <w:endnoteReference w:id="3"/>
      </w:r>
      <w:r w:rsidRPr="00022FC8">
        <w:rPr>
          <w:rFonts w:ascii="Times New Roman" w:hAnsi="Times New Roman" w:cs="Times New Roman"/>
        </w:rPr>
        <w:t xml:space="preserve"> Higher levels of neighborhood green space have also been associated with significantly lower levels of symptomology for depression, anxiety and stress, after controlling for a wide range of confounding factors. “Greening” could be a potential population mental health improvement strategy in the United States. </w:t>
      </w:r>
      <w:r w:rsidRPr="00022FC8">
        <w:rPr>
          <w:rStyle w:val="EndnoteReference"/>
          <w:rFonts w:ascii="Times New Roman" w:hAnsi="Times New Roman" w:cs="Times New Roman"/>
        </w:rPr>
        <w:endnoteReference w:id="4"/>
      </w:r>
      <w:r w:rsidRPr="00022FC8">
        <w:rPr>
          <w:rFonts w:ascii="Times New Roman" w:hAnsi="Times New Roman" w:cs="Times New Roman"/>
        </w:rPr>
        <w:t xml:space="preserve"> As little as 10</w:t>
      </w:r>
      <w:r>
        <w:rPr>
          <w:rFonts w:ascii="Times New Roman" w:hAnsi="Times New Roman" w:cs="Times New Roman"/>
        </w:rPr>
        <w:t>-20</w:t>
      </w:r>
      <w:r w:rsidRPr="00022FC8">
        <w:rPr>
          <w:rFonts w:ascii="Times New Roman" w:hAnsi="Times New Roman" w:cs="Times New Roman"/>
        </w:rPr>
        <w:t xml:space="preserve"> min</w:t>
      </w:r>
      <w:r>
        <w:rPr>
          <w:rFonts w:ascii="Times New Roman" w:hAnsi="Times New Roman" w:cs="Times New Roman"/>
        </w:rPr>
        <w:t>utes 2-3 times a week</w:t>
      </w:r>
      <w:r w:rsidRPr="00022FC8">
        <w:rPr>
          <w:rFonts w:ascii="Times New Roman" w:hAnsi="Times New Roman" w:cs="Times New Roman"/>
        </w:rPr>
        <w:t xml:space="preserve"> of sitting or walking in a diverse array of natural settings significantly and positively impacted defined psychological and physiological markers of mental well-being for college-aged individuals.</w:t>
      </w:r>
      <w:r w:rsidRPr="00022FC8">
        <w:rPr>
          <w:rStyle w:val="EndnoteReference"/>
          <w:rFonts w:ascii="Times New Roman" w:hAnsi="Times New Roman" w:cs="Times New Roman"/>
        </w:rPr>
        <w:endnoteReference w:id="5"/>
      </w:r>
      <w:r w:rsidRPr="00022FC8">
        <w:rPr>
          <w:rFonts w:ascii="Times New Roman" w:hAnsi="Times New Roman" w:cs="Times New Roman"/>
        </w:rPr>
        <w:t xml:space="preserve"> </w:t>
      </w:r>
    </w:p>
    <w:p w14:paraId="33F542C1" w14:textId="0D02AFEB" w:rsidR="00022FC8" w:rsidRPr="00022FC8" w:rsidRDefault="00022FC8" w:rsidP="00022FC8"/>
    <w:p w14:paraId="6C616AA7" w14:textId="2D76C53E" w:rsidR="00BC2BD6" w:rsidRPr="00BC2BD6" w:rsidRDefault="00BC2BD6" w:rsidP="00BC2BD6">
      <w:pPr>
        <w:rPr>
          <w:rFonts w:ascii="Times New Roman" w:hAnsi="Times New Roman" w:cs="Times New Roman"/>
        </w:rPr>
      </w:pPr>
      <w:r w:rsidRPr="00BC2BD6">
        <w:rPr>
          <w:rFonts w:ascii="Times New Roman" w:hAnsi="Times New Roman" w:cs="Times New Roman"/>
        </w:rPr>
        <w:t>Time i</w:t>
      </w:r>
      <w:r w:rsidR="00695DB6">
        <w:rPr>
          <w:rFonts w:ascii="Times New Roman" w:hAnsi="Times New Roman" w:cs="Times New Roman"/>
        </w:rPr>
        <w:t>n</w:t>
      </w:r>
      <w:r w:rsidRPr="00BC2BD6">
        <w:rPr>
          <w:rFonts w:ascii="Times New Roman" w:hAnsi="Times New Roman" w:cs="Times New Roman"/>
        </w:rPr>
        <w:t xml:space="preserve"> green spaces such as Washington Grove </w:t>
      </w:r>
      <w:r w:rsidR="00695DB6">
        <w:rPr>
          <w:rFonts w:ascii="Times New Roman" w:hAnsi="Times New Roman" w:cs="Times New Roman"/>
        </w:rPr>
        <w:t>is</w:t>
      </w:r>
      <w:r w:rsidRPr="00BC2BD6">
        <w:rPr>
          <w:rFonts w:ascii="Times New Roman" w:hAnsi="Times New Roman" w:cs="Times New Roman"/>
        </w:rPr>
        <w:t xml:space="preserve"> also associated with better learning outcomes. Being outside in a natural environment can improve memory performance and attention span by twenty percent.</w:t>
      </w:r>
      <w:r w:rsidRPr="00BC2BD6">
        <w:rPr>
          <w:rStyle w:val="EndnoteReference"/>
          <w:rFonts w:ascii="Times New Roman" w:hAnsi="Times New Roman" w:cs="Times New Roman"/>
        </w:rPr>
        <w:endnoteReference w:id="6"/>
      </w:r>
      <w:r w:rsidRPr="00BC2BD6">
        <w:rPr>
          <w:rFonts w:ascii="Times New Roman" w:hAnsi="Times New Roman" w:cs="Times New Roman"/>
        </w:rPr>
        <w:t xml:space="preserve"> In a large cross-sectional study of 59,754 Chinese children, attendance at schools or kindergartens in greener areas was associated with lower odds of having attention-deficit/hyperactivity disorder symptoms.</w:t>
      </w:r>
      <w:r w:rsidRPr="00BC2BD6">
        <w:rPr>
          <w:rStyle w:val="EndnoteReference"/>
          <w:rFonts w:ascii="Times New Roman" w:hAnsi="Times New Roman" w:cs="Times New Roman"/>
        </w:rPr>
        <w:endnoteReference w:id="7"/>
      </w:r>
      <w:r w:rsidRPr="00BC2BD6">
        <w:rPr>
          <w:rFonts w:ascii="Times New Roman" w:hAnsi="Times New Roman" w:cs="Times New Roman"/>
        </w:rPr>
        <w:t xml:space="preserve"> </w:t>
      </w:r>
    </w:p>
    <w:p w14:paraId="17C0709F" w14:textId="7045796F" w:rsidR="00022FC8" w:rsidRDefault="00022FC8" w:rsidP="00022FC8"/>
    <w:p w14:paraId="4F19E1B7" w14:textId="4BD5EB84" w:rsidR="00BC2BD6" w:rsidRPr="00BC2BD6" w:rsidRDefault="00BC2BD6" w:rsidP="00BC2BD6">
      <w:pPr>
        <w:rPr>
          <w:rFonts w:ascii="Times New Roman" w:hAnsi="Times New Roman" w:cs="Times New Roman"/>
        </w:rPr>
      </w:pPr>
      <w:r w:rsidRPr="00BC2BD6">
        <w:rPr>
          <w:rFonts w:ascii="Times New Roman" w:eastAsia="Times New Roman" w:hAnsi="Times New Roman" w:cs="Times New Roman"/>
        </w:rPr>
        <w:t xml:space="preserve">Trees and green space aren’t equally spread around Rochester. A recent study found that as a result </w:t>
      </w:r>
      <w:r w:rsidRPr="00BC2BD6">
        <w:rPr>
          <w:rFonts w:ascii="Times New Roman" w:hAnsi="Times New Roman" w:cs="Times New Roman"/>
        </w:rPr>
        <w:t>surface temperature in formerly redlined neighborhoods in Rochester are on average 8.82 degrees F warmer than those in the city’s highest-rated</w:t>
      </w:r>
      <w:r w:rsidRPr="00BC2BD6">
        <w:rPr>
          <w:rStyle w:val="widont"/>
          <w:rFonts w:ascii="Times New Roman" w:hAnsi="Times New Roman" w:cs="Times New Roman"/>
        </w:rPr>
        <w:t> </w:t>
      </w:r>
      <w:r w:rsidRPr="00BC2BD6">
        <w:rPr>
          <w:rFonts w:ascii="Times New Roman" w:hAnsi="Times New Roman" w:cs="Times New Roman"/>
        </w:rPr>
        <w:t>ones.</w:t>
      </w:r>
      <w:r w:rsidRPr="00BC2BD6">
        <w:rPr>
          <w:rStyle w:val="EndnoteReference"/>
          <w:rFonts w:ascii="Times New Roman" w:hAnsi="Times New Roman" w:cs="Times New Roman"/>
        </w:rPr>
        <w:endnoteReference w:id="8"/>
      </w:r>
    </w:p>
    <w:p w14:paraId="4E1022AD" w14:textId="1C7A1C42" w:rsidR="006071F3" w:rsidRDefault="006071F3" w:rsidP="006071F3">
      <w:pPr>
        <w:rPr>
          <w:rFonts w:ascii="Times New Roman" w:eastAsia="Times New Roman" w:hAnsi="Times New Roman" w:cs="Times New Roman"/>
        </w:rPr>
      </w:pPr>
    </w:p>
    <w:p w14:paraId="4EFB5631" w14:textId="205D7120" w:rsidR="00432CFF" w:rsidRPr="00432CFF" w:rsidRDefault="00BC2BD6" w:rsidP="00432CFF">
      <w:pPr>
        <w:rPr>
          <w:rFonts w:ascii="Times New Roman" w:hAnsi="Times New Roman" w:cs="Times New Roman"/>
          <w:b/>
          <w:bCs/>
        </w:rPr>
      </w:pPr>
      <w:r w:rsidRPr="00432CFF">
        <w:rPr>
          <w:rFonts w:ascii="Times New Roman" w:hAnsi="Times New Roman" w:cs="Times New Roman"/>
        </w:rPr>
        <w:t xml:space="preserve">How can The Friends of Washington Grove communicate the importance of green space and spending time in green space to our community using the media at our disposal (web site, </w:t>
      </w:r>
      <w:r w:rsidR="00432CFF" w:rsidRPr="00432CFF">
        <w:rPr>
          <w:rFonts w:ascii="Times New Roman" w:hAnsi="Times New Roman" w:cs="Times New Roman"/>
        </w:rPr>
        <w:t xml:space="preserve">Facebook, Instagram) in a graphic manner that communicates to a wider audience than </w:t>
      </w:r>
      <w:r w:rsidR="00695DB6">
        <w:rPr>
          <w:rFonts w:ascii="Times New Roman" w:hAnsi="Times New Roman" w:cs="Times New Roman"/>
        </w:rPr>
        <w:t xml:space="preserve">does written </w:t>
      </w:r>
      <w:r w:rsidR="00432CFF" w:rsidRPr="00432CFF">
        <w:rPr>
          <w:rFonts w:ascii="Times New Roman" w:hAnsi="Times New Roman" w:cs="Times New Roman"/>
        </w:rPr>
        <w:t xml:space="preserve">reports on the research? </w:t>
      </w:r>
      <w:r w:rsidR="00432CFF" w:rsidRPr="00432CFF">
        <w:rPr>
          <w:rFonts w:ascii="Times New Roman" w:hAnsi="Times New Roman" w:cs="Times New Roman"/>
          <w:i/>
          <w:iCs/>
        </w:rPr>
        <w:t>American Forests</w:t>
      </w:r>
      <w:r w:rsidR="00432CFF" w:rsidRPr="00432CFF">
        <w:rPr>
          <w:rFonts w:ascii="Times New Roman" w:hAnsi="Times New Roman" w:cs="Times New Roman"/>
        </w:rPr>
        <w:t xml:space="preserve">, for example, has recently created a web site from which anyone can search for the Tree Equity Score which provides a snapshot of information about environmental, climate, demographic, and health data, and assigns a “Tree </w:t>
      </w:r>
      <w:r w:rsidR="00432CFF" w:rsidRPr="00432CFF">
        <w:rPr>
          <w:rFonts w:ascii="Times New Roman" w:hAnsi="Times New Roman" w:cs="Times New Roman"/>
        </w:rPr>
        <w:lastRenderedPageBreak/>
        <w:t>Equity Score” for each census block in America’s cities</w:t>
      </w:r>
      <w:r w:rsidR="00432CFF" w:rsidRPr="00432CFF">
        <w:rPr>
          <w:rStyle w:val="EndnoteReference"/>
          <w:rFonts w:ascii="Times New Roman" w:hAnsi="Times New Roman" w:cs="Times New Roman"/>
        </w:rPr>
        <w:endnoteReference w:id="9"/>
      </w:r>
      <w:r w:rsidR="00432CFF" w:rsidRPr="00432CFF">
        <w:rPr>
          <w:rFonts w:ascii="Times New Roman" w:hAnsi="Times New Roman" w:cs="Times New Roman"/>
        </w:rPr>
        <w:t xml:space="preserve">. </w:t>
      </w:r>
      <w:r w:rsidR="00432CFF" w:rsidRPr="00432CFF">
        <w:rPr>
          <w:rFonts w:ascii="Times New Roman" w:hAnsi="Times New Roman" w:cs="Times New Roman"/>
          <w:b/>
          <w:bCs/>
        </w:rPr>
        <w:t xml:space="preserve">Are there approaches or electronic graphics that a </w:t>
      </w:r>
      <w:r w:rsidR="00432CFF" w:rsidRPr="00432CFF">
        <w:rPr>
          <w:rFonts w:ascii="Times New Roman" w:hAnsi="Times New Roman" w:cs="Times New Roman"/>
          <w:b/>
          <w:bCs/>
          <w:i/>
          <w:iCs/>
        </w:rPr>
        <w:t>Eureka</w:t>
      </w:r>
      <w:r w:rsidR="00432CFF" w:rsidRPr="00432CFF">
        <w:rPr>
          <w:rFonts w:ascii="Times New Roman" w:hAnsi="Times New Roman" w:cs="Times New Roman"/>
          <w:b/>
          <w:bCs/>
        </w:rPr>
        <w:t xml:space="preserve"> team can provide for us that will expand and enhance the ways in which we communicate this information to those we contact?</w:t>
      </w:r>
    </w:p>
    <w:p w14:paraId="139AC448" w14:textId="1B266A3F" w:rsidR="00BC2BD6" w:rsidRPr="006071F3" w:rsidRDefault="00BC2BD6" w:rsidP="006071F3">
      <w:pPr>
        <w:rPr>
          <w:rFonts w:ascii="Times New Roman" w:eastAsia="Times New Roman" w:hAnsi="Times New Roman" w:cs="Times New Roman"/>
        </w:rPr>
      </w:pPr>
    </w:p>
    <w:p w14:paraId="2CEA16D8" w14:textId="77777777" w:rsidR="006071F3" w:rsidRPr="00BC2BD6" w:rsidRDefault="006071F3">
      <w:pPr>
        <w:rPr>
          <w:rFonts w:ascii="Times New Roman" w:hAnsi="Times New Roman" w:cs="Times New Roman"/>
        </w:rPr>
      </w:pPr>
    </w:p>
    <w:sectPr w:rsidR="006071F3" w:rsidRPr="00BC2BD6" w:rsidSect="00AE3EB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3E5ED" w14:textId="77777777" w:rsidR="006A32F4" w:rsidRDefault="006A32F4" w:rsidP="00022FC8">
      <w:r>
        <w:separator/>
      </w:r>
    </w:p>
  </w:endnote>
  <w:endnote w:type="continuationSeparator" w:id="0">
    <w:p w14:paraId="6763178B" w14:textId="77777777" w:rsidR="006A32F4" w:rsidRDefault="006A32F4" w:rsidP="00022FC8">
      <w:r>
        <w:continuationSeparator/>
      </w:r>
    </w:p>
  </w:endnote>
  <w:endnote w:id="1">
    <w:p w14:paraId="7DD159EB" w14:textId="30786C0F" w:rsidR="00022FC8" w:rsidRPr="00BC2BD6" w:rsidRDefault="00022FC8" w:rsidP="0079087C">
      <w:pPr>
        <w:rPr>
          <w:rFonts w:ascii="Times New Roman" w:hAnsi="Times New Roman" w:cs="Times New Roman"/>
          <w:sz w:val="22"/>
          <w:szCs w:val="22"/>
        </w:rPr>
      </w:pPr>
      <w:r w:rsidRPr="007951E9">
        <w:rPr>
          <w:rStyle w:val="EndnoteReference"/>
        </w:rPr>
        <w:endnoteRef/>
      </w:r>
      <w:r w:rsidRPr="007951E9">
        <w:t xml:space="preserve"> </w:t>
      </w:r>
      <w:r w:rsidRPr="00BC2BD6">
        <w:rPr>
          <w:rFonts w:ascii="Times New Roman" w:hAnsi="Times New Roman" w:cs="Times New Roman"/>
          <w:sz w:val="22"/>
          <w:szCs w:val="22"/>
        </w:rPr>
        <w:t xml:space="preserve">James, P., Banay, R.F., Hart, J.E. </w:t>
      </w:r>
      <w:r w:rsidRPr="00BC2BD6">
        <w:rPr>
          <w:rFonts w:ascii="Times New Roman" w:hAnsi="Times New Roman" w:cs="Times New Roman"/>
          <w:i/>
          <w:iCs/>
          <w:sz w:val="22"/>
          <w:szCs w:val="22"/>
        </w:rPr>
        <w:t>et al.</w:t>
      </w:r>
      <w:r w:rsidRPr="00BC2BD6">
        <w:rPr>
          <w:rFonts w:ascii="Times New Roman" w:hAnsi="Times New Roman" w:cs="Times New Roman"/>
          <w:sz w:val="22"/>
          <w:szCs w:val="22"/>
        </w:rPr>
        <w:t xml:space="preserve"> A Review of the Health Benefits of Greenness. </w:t>
      </w:r>
      <w:r w:rsidRPr="00BC2BD6">
        <w:rPr>
          <w:rFonts w:ascii="Times New Roman" w:hAnsi="Times New Roman" w:cs="Times New Roman"/>
          <w:i/>
          <w:iCs/>
          <w:sz w:val="22"/>
          <w:szCs w:val="22"/>
        </w:rPr>
        <w:t>Curr Epidemiol Rep</w:t>
      </w:r>
      <w:r w:rsidRPr="00BC2BD6">
        <w:rPr>
          <w:rFonts w:ascii="Times New Roman" w:hAnsi="Times New Roman" w:cs="Times New Roman"/>
          <w:sz w:val="22"/>
          <w:szCs w:val="22"/>
        </w:rPr>
        <w:t xml:space="preserve"> 2, 131–142 (2015). https://doi.org/10.1007/s40471-015-0043-7</w:t>
      </w:r>
    </w:p>
  </w:endnote>
  <w:endnote w:id="2">
    <w:p w14:paraId="63738C1F" w14:textId="77777777" w:rsidR="00022FC8" w:rsidRPr="00BC2BD6" w:rsidRDefault="00022FC8" w:rsidP="0079087C">
      <w:pPr>
        <w:spacing w:after="60"/>
        <w:rPr>
          <w:rFonts w:ascii="Times New Roman" w:hAnsi="Times New Roman" w:cs="Times New Roman"/>
          <w:sz w:val="22"/>
          <w:szCs w:val="22"/>
        </w:rPr>
      </w:pPr>
      <w:r w:rsidRPr="00BC2BD6">
        <w:rPr>
          <w:rStyle w:val="EndnoteReference"/>
          <w:rFonts w:ascii="Times New Roman" w:hAnsi="Times New Roman" w:cs="Times New Roman"/>
          <w:sz w:val="22"/>
          <w:szCs w:val="22"/>
        </w:rPr>
        <w:endnoteRef/>
      </w:r>
      <w:r w:rsidRPr="00BC2BD6">
        <w:rPr>
          <w:rFonts w:ascii="Times New Roman" w:hAnsi="Times New Roman" w:cs="Times New Roman"/>
          <w:sz w:val="22"/>
          <w:szCs w:val="22"/>
        </w:rPr>
        <w:t xml:space="preserve"> </w:t>
      </w:r>
      <w:r w:rsidRPr="00BC2BD6">
        <w:rPr>
          <w:rFonts w:ascii="Times New Roman" w:hAnsi="Times New Roman" w:cs="Times New Roman"/>
          <w:i/>
          <w:iCs/>
          <w:sz w:val="22"/>
          <w:szCs w:val="22"/>
        </w:rPr>
        <w:t xml:space="preserve">Ming </w:t>
      </w:r>
      <w:r w:rsidRPr="00BC2BD6">
        <w:rPr>
          <w:rFonts w:ascii="Times New Roman" w:hAnsi="Times New Roman" w:cs="Times New Roman"/>
          <w:i/>
          <w:iCs/>
          <w:sz w:val="22"/>
          <w:szCs w:val="22"/>
        </w:rPr>
        <w:t xml:space="preserve">Kuo.” </w:t>
      </w:r>
      <w:r w:rsidRPr="00BC2BD6">
        <w:rPr>
          <w:rFonts w:ascii="Times New Roman" w:hAnsi="Times New Roman" w:cs="Times New Roman"/>
          <w:sz w:val="22"/>
          <w:szCs w:val="22"/>
        </w:rPr>
        <w:t xml:space="preserve">How might contact with nature promote human health? Promising mechanisms and a possible central pathway.” </w:t>
      </w:r>
      <w:r w:rsidRPr="00BC2BD6">
        <w:rPr>
          <w:rFonts w:ascii="Times New Roman" w:hAnsi="Times New Roman" w:cs="Times New Roman"/>
          <w:i/>
          <w:iCs/>
          <w:sz w:val="22"/>
          <w:szCs w:val="22"/>
        </w:rPr>
        <w:t xml:space="preserve"> Landscape and Human Health Laboratory, Department of Natural Resources and Environmental Sciences, University of Illinois at Urbana-Champaign, Urbana, IL, USA </w:t>
      </w:r>
    </w:p>
    <w:p w14:paraId="62D375EC" w14:textId="77777777" w:rsidR="00022FC8" w:rsidRPr="00BC2BD6" w:rsidRDefault="00022FC8" w:rsidP="0079087C">
      <w:pPr>
        <w:pStyle w:val="NormalWeb"/>
        <w:spacing w:before="0" w:beforeAutospacing="0" w:after="60" w:afterAutospacing="0"/>
        <w:rPr>
          <w:sz w:val="22"/>
          <w:szCs w:val="22"/>
        </w:rPr>
      </w:pPr>
      <w:r w:rsidRPr="00BC2BD6">
        <w:rPr>
          <w:sz w:val="22"/>
          <w:szCs w:val="22"/>
        </w:rPr>
        <w:t xml:space="preserve">Maas, J.; Verheij, R.A.; de Vries, S.; Spreeuwenberg, P.; Schellevis, F.G.; Groenewegen, P.P. “Morbidity is related to a green living environment.” </w:t>
      </w:r>
      <w:r w:rsidRPr="00BC2BD6">
        <w:rPr>
          <w:i/>
          <w:iCs/>
          <w:sz w:val="22"/>
          <w:szCs w:val="22"/>
        </w:rPr>
        <w:t xml:space="preserve">J. Epidemiol. Community Health </w:t>
      </w:r>
      <w:r w:rsidRPr="00BC2BD6">
        <w:rPr>
          <w:sz w:val="22"/>
          <w:szCs w:val="22"/>
        </w:rPr>
        <w:t xml:space="preserve">2009, </w:t>
      </w:r>
      <w:r w:rsidRPr="00BC2BD6">
        <w:rPr>
          <w:i/>
          <w:iCs/>
          <w:sz w:val="22"/>
          <w:szCs w:val="22"/>
        </w:rPr>
        <w:t>63</w:t>
      </w:r>
      <w:r w:rsidRPr="00BC2BD6">
        <w:rPr>
          <w:sz w:val="22"/>
          <w:szCs w:val="22"/>
        </w:rPr>
        <w:t xml:space="preserve">, 967–973. </w:t>
      </w:r>
    </w:p>
    <w:p w14:paraId="655FD7D1" w14:textId="77777777" w:rsidR="00022FC8" w:rsidRPr="00BC2BD6" w:rsidRDefault="00022FC8" w:rsidP="0079087C">
      <w:pPr>
        <w:pStyle w:val="NormalWeb"/>
        <w:spacing w:before="0" w:beforeAutospacing="0" w:after="60" w:afterAutospacing="0"/>
        <w:rPr>
          <w:sz w:val="22"/>
          <w:szCs w:val="22"/>
        </w:rPr>
      </w:pPr>
      <w:r w:rsidRPr="00BC2BD6">
        <w:rPr>
          <w:sz w:val="22"/>
          <w:szCs w:val="22"/>
        </w:rPr>
        <w:t xml:space="preserve">De Vries, S.; Verheij, R.A.; Groenewegen, P.P.; Spreeuwenberg, P. “Natural environments-healthy environments? An exploratory analysis of the relationship between greenspace and health.” </w:t>
      </w:r>
      <w:r w:rsidRPr="00BC2BD6">
        <w:rPr>
          <w:i/>
          <w:iCs/>
          <w:sz w:val="22"/>
          <w:szCs w:val="22"/>
        </w:rPr>
        <w:t xml:space="preserve">Environ. Plan. A </w:t>
      </w:r>
      <w:r w:rsidRPr="00BC2BD6">
        <w:rPr>
          <w:sz w:val="22"/>
          <w:szCs w:val="22"/>
        </w:rPr>
        <w:t xml:space="preserve">2003, </w:t>
      </w:r>
      <w:r w:rsidRPr="00BC2BD6">
        <w:rPr>
          <w:i/>
          <w:iCs/>
          <w:sz w:val="22"/>
          <w:szCs w:val="22"/>
        </w:rPr>
        <w:t>35</w:t>
      </w:r>
      <w:r w:rsidRPr="00BC2BD6">
        <w:rPr>
          <w:sz w:val="22"/>
          <w:szCs w:val="22"/>
        </w:rPr>
        <w:t xml:space="preserve">, 1717–1732. </w:t>
      </w:r>
    </w:p>
    <w:p w14:paraId="28E75B26" w14:textId="77777777" w:rsidR="00022FC8" w:rsidRPr="00BC2BD6" w:rsidRDefault="00022FC8" w:rsidP="0079087C">
      <w:pPr>
        <w:pStyle w:val="NormalWeb"/>
        <w:spacing w:before="0" w:beforeAutospacing="0" w:after="60" w:afterAutospacing="0"/>
        <w:rPr>
          <w:sz w:val="22"/>
          <w:szCs w:val="22"/>
        </w:rPr>
      </w:pPr>
      <w:r w:rsidRPr="00BC2BD6">
        <w:rPr>
          <w:sz w:val="22"/>
          <w:szCs w:val="22"/>
        </w:rPr>
        <w:t xml:space="preserve">Van Dillen, S.M.; de Vries, S.; Groenewegen, P.P.; Spreeuwenberg, P. “Greenspace in urban neighbourhoods and residents’ health: Adding quality to quantity.” </w:t>
      </w:r>
      <w:r w:rsidRPr="00BC2BD6">
        <w:rPr>
          <w:i/>
          <w:iCs/>
          <w:sz w:val="22"/>
          <w:szCs w:val="22"/>
        </w:rPr>
        <w:t xml:space="preserve">J. Epidemiol. Community Health </w:t>
      </w:r>
      <w:r w:rsidRPr="00BC2BD6">
        <w:rPr>
          <w:sz w:val="22"/>
          <w:szCs w:val="22"/>
        </w:rPr>
        <w:t>2012</w:t>
      </w:r>
      <w:r w:rsidRPr="00BC2BD6">
        <w:rPr>
          <w:i/>
          <w:iCs/>
          <w:sz w:val="22"/>
          <w:szCs w:val="22"/>
        </w:rPr>
        <w:t>, 66</w:t>
      </w:r>
      <w:r w:rsidRPr="00BC2BD6">
        <w:rPr>
          <w:sz w:val="22"/>
          <w:szCs w:val="22"/>
        </w:rPr>
        <w:t xml:space="preserve">, doi:10.1136/jech.2009.104695. </w:t>
      </w:r>
    </w:p>
    <w:p w14:paraId="4EA07BB3" w14:textId="77777777" w:rsidR="00022FC8" w:rsidRPr="00BC2BD6" w:rsidRDefault="00022FC8" w:rsidP="0079087C">
      <w:pPr>
        <w:pStyle w:val="NormalWeb"/>
        <w:spacing w:before="0" w:beforeAutospacing="0" w:after="60" w:afterAutospacing="0"/>
        <w:rPr>
          <w:sz w:val="22"/>
          <w:szCs w:val="22"/>
        </w:rPr>
      </w:pPr>
      <w:r w:rsidRPr="00BC2BD6">
        <w:rPr>
          <w:sz w:val="22"/>
          <w:szCs w:val="22"/>
        </w:rPr>
        <w:t xml:space="preserve">Bell, J.F.; Wilson, J.S.; Liu, G.C. “Neighborhood greenness and 2-year changes in body mass index of children and youth.” </w:t>
      </w:r>
      <w:r w:rsidRPr="00BC2BD6">
        <w:rPr>
          <w:i/>
          <w:iCs/>
          <w:sz w:val="22"/>
          <w:szCs w:val="22"/>
        </w:rPr>
        <w:t>Amer. J. Prev. Med</w:t>
      </w:r>
      <w:r w:rsidRPr="00BC2BD6">
        <w:rPr>
          <w:sz w:val="22"/>
          <w:szCs w:val="22"/>
        </w:rPr>
        <w:t xml:space="preserve">. 2008, </w:t>
      </w:r>
      <w:r w:rsidRPr="00BC2BD6">
        <w:rPr>
          <w:i/>
          <w:iCs/>
          <w:sz w:val="22"/>
          <w:szCs w:val="22"/>
        </w:rPr>
        <w:t>35</w:t>
      </w:r>
      <w:r w:rsidRPr="00BC2BD6">
        <w:rPr>
          <w:sz w:val="22"/>
          <w:szCs w:val="22"/>
        </w:rPr>
        <w:t xml:space="preserve">, 547–553. </w:t>
      </w:r>
    </w:p>
    <w:p w14:paraId="7DB65305" w14:textId="77777777" w:rsidR="00022FC8" w:rsidRPr="00BC2BD6" w:rsidRDefault="00022FC8" w:rsidP="0079087C">
      <w:pPr>
        <w:pStyle w:val="NormalWeb"/>
        <w:spacing w:before="0" w:beforeAutospacing="0" w:after="60" w:afterAutospacing="0"/>
        <w:rPr>
          <w:sz w:val="22"/>
          <w:szCs w:val="22"/>
        </w:rPr>
      </w:pPr>
      <w:r w:rsidRPr="00BC2BD6">
        <w:rPr>
          <w:sz w:val="22"/>
          <w:szCs w:val="22"/>
        </w:rPr>
        <w:t xml:space="preserve">Bowler, D.E.; Buyung-Ali, L.M.; Knight, T.M.; Pullin, A.S. “A systematic review of evidence for the added benefits to health of exposure to natural environments.” </w:t>
      </w:r>
      <w:r w:rsidRPr="00BC2BD6">
        <w:rPr>
          <w:i/>
          <w:iCs/>
          <w:sz w:val="22"/>
          <w:szCs w:val="22"/>
        </w:rPr>
        <w:t xml:space="preserve">BMC Public Health </w:t>
      </w:r>
      <w:r w:rsidRPr="00BC2BD6">
        <w:rPr>
          <w:sz w:val="22"/>
          <w:szCs w:val="22"/>
        </w:rPr>
        <w:t xml:space="preserve">2010, </w:t>
      </w:r>
      <w:r w:rsidRPr="00BC2BD6">
        <w:rPr>
          <w:i/>
          <w:iCs/>
          <w:sz w:val="22"/>
          <w:szCs w:val="22"/>
        </w:rPr>
        <w:t>10</w:t>
      </w:r>
      <w:r w:rsidRPr="00BC2BD6">
        <w:rPr>
          <w:sz w:val="22"/>
          <w:szCs w:val="22"/>
        </w:rPr>
        <w:t xml:space="preserve">, 1–10. </w:t>
      </w:r>
    </w:p>
  </w:endnote>
  <w:endnote w:id="3">
    <w:p w14:paraId="47E10592" w14:textId="77777777" w:rsidR="00022FC8" w:rsidRPr="00BC2BD6" w:rsidRDefault="00022FC8" w:rsidP="0079087C">
      <w:pPr>
        <w:pStyle w:val="NormalWeb"/>
        <w:spacing w:before="0" w:beforeAutospacing="0" w:after="60" w:afterAutospacing="0"/>
        <w:rPr>
          <w:sz w:val="22"/>
          <w:szCs w:val="22"/>
        </w:rPr>
      </w:pPr>
      <w:r w:rsidRPr="00BC2BD6">
        <w:rPr>
          <w:rStyle w:val="EndnoteReference"/>
          <w:sz w:val="22"/>
          <w:szCs w:val="22"/>
        </w:rPr>
        <w:endnoteRef/>
      </w:r>
      <w:r w:rsidRPr="00BC2BD6">
        <w:rPr>
          <w:sz w:val="22"/>
          <w:szCs w:val="22"/>
        </w:rPr>
        <w:t xml:space="preserve"> Kirsten M. M. Beyer et al. (2014) “Exposure to Neighborhood Green Space and Mental Health: Evidence from the Survey of the Health of Wisconsin,” in </w:t>
      </w:r>
      <w:r w:rsidRPr="00BC2BD6">
        <w:rPr>
          <w:i/>
          <w:iCs/>
          <w:sz w:val="22"/>
          <w:szCs w:val="22"/>
        </w:rPr>
        <w:t xml:space="preserve">Int. J. Environ. Res. Public Health </w:t>
      </w:r>
      <w:r w:rsidRPr="00BC2BD6">
        <w:rPr>
          <w:sz w:val="22"/>
          <w:szCs w:val="22"/>
        </w:rPr>
        <w:t xml:space="preserve">2014, </w:t>
      </w:r>
      <w:r w:rsidRPr="00BC2BD6">
        <w:rPr>
          <w:i/>
          <w:iCs/>
          <w:sz w:val="22"/>
          <w:szCs w:val="22"/>
        </w:rPr>
        <w:t>11</w:t>
      </w:r>
      <w:r w:rsidRPr="00BC2BD6">
        <w:rPr>
          <w:sz w:val="22"/>
          <w:szCs w:val="22"/>
        </w:rPr>
        <w:t xml:space="preserve">, 3453-3472; doi:10.3390/ijerph110303453 </w:t>
      </w:r>
    </w:p>
    <w:p w14:paraId="1E9F93AC" w14:textId="77777777" w:rsidR="00022FC8" w:rsidRPr="00BC2BD6" w:rsidRDefault="00022FC8" w:rsidP="0079087C">
      <w:pPr>
        <w:pStyle w:val="NormalWeb"/>
        <w:spacing w:before="0" w:beforeAutospacing="0" w:after="60" w:afterAutospacing="0"/>
        <w:rPr>
          <w:sz w:val="22"/>
          <w:szCs w:val="22"/>
        </w:rPr>
      </w:pPr>
      <w:r w:rsidRPr="00BC2BD6">
        <w:rPr>
          <w:sz w:val="22"/>
          <w:szCs w:val="22"/>
        </w:rPr>
        <w:t xml:space="preserve">Thompson, C.W.; Roe, J.; Aspinall, P.; Mitchell, R.; Clow, A.; Miller, D. “More green space is linked to less stress in deprived communities: Evidence from salivary cortisol patterns.” </w:t>
      </w:r>
      <w:r w:rsidRPr="00BC2BD6">
        <w:rPr>
          <w:i/>
          <w:iCs/>
          <w:sz w:val="22"/>
          <w:szCs w:val="22"/>
        </w:rPr>
        <w:t xml:space="preserve">Landscape Urban Plan. </w:t>
      </w:r>
      <w:r w:rsidRPr="00BC2BD6">
        <w:rPr>
          <w:sz w:val="22"/>
          <w:szCs w:val="22"/>
        </w:rPr>
        <w:t xml:space="preserve">2012, </w:t>
      </w:r>
      <w:r w:rsidRPr="00BC2BD6">
        <w:rPr>
          <w:i/>
          <w:iCs/>
          <w:sz w:val="22"/>
          <w:szCs w:val="22"/>
        </w:rPr>
        <w:t>105</w:t>
      </w:r>
      <w:r w:rsidRPr="00BC2BD6">
        <w:rPr>
          <w:sz w:val="22"/>
          <w:szCs w:val="22"/>
        </w:rPr>
        <w:t xml:space="preserve">, 221–229. </w:t>
      </w:r>
    </w:p>
  </w:endnote>
  <w:endnote w:id="4">
    <w:p w14:paraId="39D8822A" w14:textId="6BC28EC1" w:rsidR="00022FC8" w:rsidRPr="00BC2BD6" w:rsidRDefault="00022FC8" w:rsidP="0079087C">
      <w:pPr>
        <w:pStyle w:val="NormalWeb"/>
        <w:spacing w:before="0" w:beforeAutospacing="0" w:after="60" w:afterAutospacing="0"/>
        <w:rPr>
          <w:sz w:val="22"/>
          <w:szCs w:val="22"/>
        </w:rPr>
      </w:pPr>
      <w:r w:rsidRPr="00BC2BD6">
        <w:rPr>
          <w:rStyle w:val="EndnoteReference"/>
          <w:sz w:val="22"/>
          <w:szCs w:val="22"/>
        </w:rPr>
        <w:endnoteRef/>
      </w:r>
      <w:r w:rsidRPr="00BC2BD6">
        <w:rPr>
          <w:sz w:val="22"/>
          <w:szCs w:val="22"/>
        </w:rPr>
        <w:t xml:space="preserve"> Berman, M.G.; </w:t>
      </w:r>
      <w:r w:rsidRPr="00BC2BD6">
        <w:rPr>
          <w:sz w:val="22"/>
          <w:szCs w:val="22"/>
        </w:rPr>
        <w:t xml:space="preserve">Kross, E.; Krpan, K.M.; Askren, M.K.; Burson, A.; Deldin, P.J.; Kaplan, S.; Sherdell, L.; Gotlib, I.H.; Jonides, J. “Interacting with nature improves cognition and affect for individuals with depression.” </w:t>
      </w:r>
      <w:r w:rsidRPr="00BC2BD6">
        <w:rPr>
          <w:i/>
          <w:iCs/>
          <w:sz w:val="22"/>
          <w:szCs w:val="22"/>
        </w:rPr>
        <w:t xml:space="preserve">JAD </w:t>
      </w:r>
      <w:r w:rsidRPr="00BC2BD6">
        <w:rPr>
          <w:sz w:val="22"/>
          <w:szCs w:val="22"/>
        </w:rPr>
        <w:t xml:space="preserve">2012, </w:t>
      </w:r>
      <w:r w:rsidRPr="00BC2BD6">
        <w:rPr>
          <w:i/>
          <w:iCs/>
          <w:sz w:val="22"/>
          <w:szCs w:val="22"/>
        </w:rPr>
        <w:t>140</w:t>
      </w:r>
      <w:r w:rsidRPr="00BC2BD6">
        <w:rPr>
          <w:sz w:val="22"/>
          <w:szCs w:val="22"/>
        </w:rPr>
        <w:t xml:space="preserve">, 300–305. </w:t>
      </w:r>
    </w:p>
  </w:endnote>
  <w:endnote w:id="5">
    <w:p w14:paraId="5EC13171" w14:textId="0F59313C" w:rsidR="00022FC8" w:rsidRPr="00BC2BD6" w:rsidRDefault="00022FC8" w:rsidP="0079087C">
      <w:pPr>
        <w:spacing w:after="60"/>
        <w:rPr>
          <w:rFonts w:ascii="Times New Roman" w:hAnsi="Times New Roman" w:cs="Times New Roman"/>
          <w:sz w:val="22"/>
          <w:szCs w:val="22"/>
        </w:rPr>
      </w:pPr>
      <w:r w:rsidRPr="00BC2BD6">
        <w:rPr>
          <w:rStyle w:val="EndnoteReference"/>
          <w:rFonts w:ascii="Times New Roman" w:hAnsi="Times New Roman" w:cs="Times New Roman"/>
          <w:sz w:val="22"/>
          <w:szCs w:val="22"/>
        </w:rPr>
        <w:endnoteRef/>
      </w:r>
      <w:r w:rsidRPr="00BC2BD6">
        <w:rPr>
          <w:rFonts w:ascii="Times New Roman" w:hAnsi="Times New Roman" w:cs="Times New Roman"/>
          <w:sz w:val="22"/>
          <w:szCs w:val="22"/>
        </w:rPr>
        <w:t xml:space="preserve"> Meredith GR, </w:t>
      </w:r>
      <w:r w:rsidRPr="00BC2BD6">
        <w:rPr>
          <w:rFonts w:ascii="Times New Roman" w:hAnsi="Times New Roman" w:cs="Times New Roman"/>
          <w:sz w:val="22"/>
          <w:szCs w:val="22"/>
        </w:rPr>
        <w:t xml:space="preserve">Rakow DA, Eldermire ERB, Madsen CG, Shelley SP and Sachs NA (2020) “Minimum Time Dose in Nature to Positively Impact the Mental Health of College-Aged Students, and How to Measure It: A Scoping Review.” </w:t>
      </w:r>
      <w:r w:rsidRPr="00BC2BD6">
        <w:rPr>
          <w:rFonts w:ascii="Times New Roman" w:hAnsi="Times New Roman" w:cs="Times New Roman"/>
          <w:i/>
          <w:iCs/>
          <w:sz w:val="22"/>
          <w:szCs w:val="22"/>
        </w:rPr>
        <w:t>Frontiers in Psychoogy.</w:t>
      </w:r>
      <w:r w:rsidRPr="00BC2BD6">
        <w:rPr>
          <w:rFonts w:ascii="Times New Roman" w:hAnsi="Times New Roman" w:cs="Times New Roman"/>
          <w:sz w:val="22"/>
          <w:szCs w:val="22"/>
        </w:rPr>
        <w:t xml:space="preserve"> 10:2942. doi: 10.3389/fpsyg.2019.02942</w:t>
      </w:r>
    </w:p>
  </w:endnote>
  <w:endnote w:id="6">
    <w:p w14:paraId="0F345170" w14:textId="7D21A8E4" w:rsidR="00BC2BD6" w:rsidRPr="00BC2BD6" w:rsidRDefault="00BC2BD6" w:rsidP="0079087C">
      <w:pPr>
        <w:pStyle w:val="EndnoteText"/>
        <w:spacing w:after="60"/>
        <w:rPr>
          <w:sz w:val="22"/>
          <w:szCs w:val="22"/>
        </w:rPr>
      </w:pPr>
      <w:r w:rsidRPr="00BC2BD6">
        <w:rPr>
          <w:rStyle w:val="EndnoteReference"/>
          <w:sz w:val="22"/>
          <w:szCs w:val="22"/>
        </w:rPr>
        <w:endnoteRef/>
      </w:r>
      <w:r w:rsidRPr="00BC2BD6">
        <w:rPr>
          <w:sz w:val="22"/>
          <w:szCs w:val="22"/>
        </w:rPr>
        <w:t xml:space="preserve"> Retrieved from: </w:t>
      </w:r>
      <w:hyperlink r:id="rId1" w:history="1">
        <w:r w:rsidRPr="00BC2BD6">
          <w:rPr>
            <w:rStyle w:val="Hyperlink"/>
            <w:sz w:val="22"/>
            <w:szCs w:val="22"/>
          </w:rPr>
          <w:t>https://ellisonchair.tamu.edu/health-and-well-being-benefits-of-plants/</w:t>
        </w:r>
      </w:hyperlink>
    </w:p>
  </w:endnote>
  <w:endnote w:id="7">
    <w:p w14:paraId="6524DFF2" w14:textId="77777777" w:rsidR="00BC2BD6" w:rsidRPr="00432CFF" w:rsidRDefault="00BC2BD6" w:rsidP="0079087C">
      <w:pPr>
        <w:spacing w:after="60"/>
        <w:rPr>
          <w:rFonts w:ascii="Times New Roman" w:hAnsi="Times New Roman" w:cs="Times New Roman"/>
          <w:sz w:val="22"/>
          <w:szCs w:val="22"/>
        </w:rPr>
      </w:pPr>
      <w:r w:rsidRPr="00BC2BD6">
        <w:rPr>
          <w:rStyle w:val="EndnoteReference"/>
          <w:rFonts w:ascii="Times New Roman" w:hAnsi="Times New Roman" w:cs="Times New Roman"/>
          <w:sz w:val="22"/>
          <w:szCs w:val="22"/>
        </w:rPr>
        <w:endnoteRef/>
      </w:r>
      <w:r w:rsidRPr="00BC2BD6">
        <w:rPr>
          <w:rFonts w:ascii="Times New Roman" w:hAnsi="Times New Roman" w:cs="Times New Roman"/>
          <w:sz w:val="22"/>
          <w:szCs w:val="22"/>
        </w:rPr>
        <w:t xml:space="preserve"> </w:t>
      </w:r>
      <w:hyperlink r:id="rId2" w:tgtFrame="_blank" w:history="1">
        <w:r w:rsidRPr="00BC2BD6">
          <w:rPr>
            <w:rStyle w:val="Hyperlink"/>
            <w:rFonts w:ascii="Times New Roman" w:hAnsi="Times New Roman" w:cs="Times New Roman"/>
            <w:sz w:val="22"/>
            <w:szCs w:val="22"/>
          </w:rPr>
          <w:t>Bo-Yi Yang, PhD</w:t>
        </w:r>
        <w:r w:rsidRPr="00BC2BD6">
          <w:rPr>
            <w:rStyle w:val="Hyperlink"/>
            <w:rFonts w:ascii="Times New Roman" w:hAnsi="Times New Roman" w:cs="Times New Roman"/>
            <w:sz w:val="22"/>
            <w:szCs w:val="22"/>
            <w:vertAlign w:val="superscript"/>
          </w:rPr>
          <w:t>1</w:t>
        </w:r>
      </w:hyperlink>
      <w:r w:rsidRPr="00BC2BD6">
        <w:rPr>
          <w:rStyle w:val="al-author-delim"/>
          <w:rFonts w:ascii="Times New Roman" w:eastAsiaTheme="majorEastAsia" w:hAnsi="Times New Roman" w:cs="Times New Roman"/>
          <w:sz w:val="22"/>
          <w:szCs w:val="22"/>
        </w:rPr>
        <w:t xml:space="preserve">; </w:t>
      </w:r>
      <w:hyperlink r:id="rId3" w:tgtFrame="_blank" w:history="1">
        <w:r w:rsidRPr="00BC2BD6">
          <w:rPr>
            <w:rStyle w:val="Hyperlink"/>
            <w:rFonts w:ascii="Times New Roman" w:hAnsi="Times New Roman" w:cs="Times New Roman"/>
            <w:sz w:val="22"/>
            <w:szCs w:val="22"/>
          </w:rPr>
          <w:t>Xiao-Wen Zeng, PhD</w:t>
        </w:r>
        <w:r w:rsidRPr="00BC2BD6">
          <w:rPr>
            <w:rStyle w:val="Hyperlink"/>
            <w:rFonts w:ascii="Times New Roman" w:hAnsi="Times New Roman" w:cs="Times New Roman"/>
            <w:sz w:val="22"/>
            <w:szCs w:val="22"/>
            <w:vertAlign w:val="superscript"/>
          </w:rPr>
          <w:t>1</w:t>
        </w:r>
      </w:hyperlink>
      <w:r w:rsidRPr="00BC2BD6">
        <w:rPr>
          <w:rStyle w:val="al-author-delim"/>
          <w:rFonts w:ascii="Times New Roman" w:eastAsiaTheme="majorEastAsia" w:hAnsi="Times New Roman" w:cs="Times New Roman"/>
          <w:sz w:val="22"/>
          <w:szCs w:val="22"/>
        </w:rPr>
        <w:t xml:space="preserve">; </w:t>
      </w:r>
      <w:hyperlink r:id="rId4" w:tgtFrame="_blank" w:history="1">
        <w:r w:rsidRPr="00BC2BD6">
          <w:rPr>
            <w:rStyle w:val="Hyperlink"/>
            <w:rFonts w:ascii="Times New Roman" w:hAnsi="Times New Roman" w:cs="Times New Roman"/>
            <w:sz w:val="22"/>
            <w:szCs w:val="22"/>
          </w:rPr>
          <w:t>Iana Markevych, PhD</w:t>
        </w:r>
        <w:r w:rsidRPr="00BC2BD6">
          <w:rPr>
            <w:rStyle w:val="Hyperlink"/>
            <w:rFonts w:ascii="Times New Roman" w:hAnsi="Times New Roman" w:cs="Times New Roman"/>
            <w:sz w:val="22"/>
            <w:szCs w:val="22"/>
            <w:vertAlign w:val="superscript"/>
          </w:rPr>
          <w:t>2,3,4</w:t>
        </w:r>
      </w:hyperlink>
      <w:r w:rsidRPr="00BC2BD6">
        <w:rPr>
          <w:rStyle w:val="meta-authors--limited"/>
          <w:rFonts w:ascii="Times New Roman" w:hAnsi="Times New Roman" w:cs="Times New Roman"/>
          <w:sz w:val="22"/>
          <w:szCs w:val="22"/>
        </w:rPr>
        <w:t xml:space="preserve">; et al. </w:t>
      </w:r>
      <w:r w:rsidRPr="00BC2BD6">
        <w:rPr>
          <w:rFonts w:ascii="Times New Roman" w:hAnsi="Times New Roman" w:cs="Times New Roman"/>
          <w:sz w:val="22"/>
          <w:szCs w:val="22"/>
        </w:rPr>
        <w:t xml:space="preserve">“Association Between Greenness Surrounding Schools and Kindergartens and Attention-Deficit/Hyperactivity Disorder in </w:t>
      </w:r>
      <w:r w:rsidRPr="00432CFF">
        <w:rPr>
          <w:rFonts w:ascii="Times New Roman" w:hAnsi="Times New Roman" w:cs="Times New Roman"/>
          <w:sz w:val="22"/>
          <w:szCs w:val="22"/>
        </w:rPr>
        <w:t xml:space="preserve">Children in China,” </w:t>
      </w:r>
      <w:r w:rsidRPr="00432CFF">
        <w:rPr>
          <w:rStyle w:val="meta-citation-journal-name"/>
          <w:rFonts w:ascii="Times New Roman" w:hAnsi="Times New Roman" w:cs="Times New Roman"/>
          <w:sz w:val="22"/>
          <w:szCs w:val="22"/>
        </w:rPr>
        <w:t xml:space="preserve">JAMA Netw Open. </w:t>
      </w:r>
      <w:r w:rsidRPr="00432CFF">
        <w:rPr>
          <w:rStyle w:val="meta-citation"/>
          <w:rFonts w:ascii="Times New Roman" w:hAnsi="Times New Roman" w:cs="Times New Roman"/>
          <w:sz w:val="22"/>
          <w:szCs w:val="22"/>
        </w:rPr>
        <w:t>2019;2(12): e1917862. doi:10.1001/jamanetworkopen.2019.17862</w:t>
      </w:r>
      <w:r w:rsidRPr="00432CFF">
        <w:rPr>
          <w:rFonts w:ascii="Times New Roman" w:hAnsi="Times New Roman" w:cs="Times New Roman"/>
          <w:sz w:val="22"/>
          <w:szCs w:val="22"/>
        </w:rPr>
        <w:t xml:space="preserve"> </w:t>
      </w:r>
    </w:p>
  </w:endnote>
  <w:endnote w:id="8">
    <w:p w14:paraId="4D42DD4E" w14:textId="6AEF98B9" w:rsidR="00BC2BD6" w:rsidRPr="00432CFF" w:rsidRDefault="00BC2BD6" w:rsidP="0079087C">
      <w:pPr>
        <w:spacing w:after="60"/>
        <w:rPr>
          <w:rFonts w:ascii="Times New Roman" w:hAnsi="Times New Roman" w:cs="Times New Roman"/>
          <w:sz w:val="22"/>
          <w:szCs w:val="22"/>
        </w:rPr>
      </w:pPr>
      <w:r w:rsidRPr="00432CFF">
        <w:rPr>
          <w:rStyle w:val="EndnoteReference"/>
          <w:rFonts w:ascii="Times New Roman" w:hAnsi="Times New Roman" w:cs="Times New Roman"/>
          <w:sz w:val="22"/>
          <w:szCs w:val="22"/>
        </w:rPr>
        <w:endnoteRef/>
      </w:r>
      <w:r w:rsidRPr="00432CFF">
        <w:rPr>
          <w:rFonts w:ascii="Times New Roman" w:hAnsi="Times New Roman" w:cs="Times New Roman"/>
          <w:sz w:val="22"/>
          <w:szCs w:val="22"/>
        </w:rPr>
        <w:t xml:space="preserve">  Hoffman, </w:t>
      </w:r>
      <w:r w:rsidRPr="00432CFF">
        <w:rPr>
          <w:rFonts w:ascii="Times New Roman" w:hAnsi="Times New Roman" w:cs="Times New Roman"/>
          <w:sz w:val="22"/>
          <w:szCs w:val="22"/>
        </w:rPr>
        <w:t xml:space="preserve">Shandas </w:t>
      </w:r>
      <w:r w:rsidRPr="00432CFF">
        <w:rPr>
          <w:rFonts w:ascii="Times New Roman" w:hAnsi="Times New Roman" w:cs="Times New Roman"/>
          <w:position w:val="8"/>
          <w:sz w:val="22"/>
          <w:szCs w:val="22"/>
        </w:rPr>
        <w:t xml:space="preserve"> </w:t>
      </w:r>
      <w:r w:rsidRPr="00432CFF">
        <w:rPr>
          <w:rFonts w:ascii="Times New Roman" w:hAnsi="Times New Roman" w:cs="Times New Roman"/>
          <w:sz w:val="22"/>
          <w:szCs w:val="22"/>
        </w:rPr>
        <w:t xml:space="preserve">and Pendleton, “The Effects of Historical Housing Policies on Resident Exposure to Intra-Urban Heat: A Study of 108 US Urban Areas,” in </w:t>
      </w:r>
      <w:r w:rsidRPr="00432CFF">
        <w:rPr>
          <w:rFonts w:ascii="Times New Roman" w:hAnsi="Times New Roman" w:cs="Times New Roman"/>
          <w:i/>
          <w:iCs/>
          <w:sz w:val="22"/>
          <w:szCs w:val="22"/>
        </w:rPr>
        <w:t>Climate</w:t>
      </w:r>
      <w:r w:rsidRPr="00432CFF">
        <w:rPr>
          <w:rFonts w:ascii="Times New Roman" w:hAnsi="Times New Roman" w:cs="Times New Roman"/>
          <w:sz w:val="22"/>
          <w:szCs w:val="22"/>
        </w:rPr>
        <w:t xml:space="preserve"> 2020, </w:t>
      </w:r>
      <w:r w:rsidRPr="00432CFF">
        <w:rPr>
          <w:rFonts w:ascii="Times New Roman" w:hAnsi="Times New Roman" w:cs="Times New Roman"/>
          <w:i/>
          <w:iCs/>
          <w:sz w:val="22"/>
          <w:szCs w:val="22"/>
        </w:rPr>
        <w:t>8</w:t>
      </w:r>
      <w:r w:rsidRPr="00432CFF">
        <w:rPr>
          <w:rFonts w:ascii="Times New Roman" w:hAnsi="Times New Roman" w:cs="Times New Roman"/>
          <w:sz w:val="22"/>
          <w:szCs w:val="22"/>
        </w:rPr>
        <w:t xml:space="preserve">(1), 12; </w:t>
      </w:r>
      <w:hyperlink r:id="rId5" w:tgtFrame="_blank" w:history="1">
        <w:r w:rsidRPr="00432CFF">
          <w:rPr>
            <w:rStyle w:val="Hyperlink"/>
            <w:rFonts w:ascii="Times New Roman" w:hAnsi="Times New Roman" w:cs="Times New Roman"/>
            <w:sz w:val="22"/>
            <w:szCs w:val="22"/>
          </w:rPr>
          <w:t>https://doi.org/10.3390/cli8010012</w:t>
        </w:r>
      </w:hyperlink>
      <w:r w:rsidRPr="00432CFF">
        <w:rPr>
          <w:rFonts w:ascii="Times New Roman" w:hAnsi="Times New Roman" w:cs="Times New Roman"/>
          <w:sz w:val="22"/>
          <w:szCs w:val="22"/>
        </w:rPr>
        <w:t xml:space="preserve"> </w:t>
      </w:r>
    </w:p>
  </w:endnote>
  <w:endnote w:id="9">
    <w:p w14:paraId="7459CA64" w14:textId="60771182" w:rsidR="00432CFF" w:rsidRDefault="00432CFF" w:rsidP="0079087C">
      <w:pPr>
        <w:pStyle w:val="EndnoteText"/>
        <w:spacing w:after="60"/>
      </w:pPr>
      <w:r w:rsidRPr="00432CFF">
        <w:rPr>
          <w:rStyle w:val="EndnoteReference"/>
          <w:sz w:val="22"/>
          <w:szCs w:val="22"/>
        </w:rPr>
        <w:endnoteRef/>
      </w:r>
      <w:r w:rsidRPr="00432CFF">
        <w:rPr>
          <w:sz w:val="22"/>
          <w:szCs w:val="22"/>
        </w:rPr>
        <w:t xml:space="preserve"> Rochester information is at </w:t>
      </w:r>
      <w:hyperlink r:id="rId6" w:anchor="11/43.1886/-77.6175" w:history="1">
        <w:r w:rsidRPr="00432CFF">
          <w:rPr>
            <w:rStyle w:val="Hyperlink"/>
            <w:sz w:val="22"/>
            <w:szCs w:val="22"/>
          </w:rPr>
          <w:t>https://www.treeequityscore.org/map/#11/43.1886/-77.6175</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B1413" w14:textId="77777777" w:rsidR="006A32F4" w:rsidRDefault="006A32F4" w:rsidP="00022FC8">
      <w:r>
        <w:separator/>
      </w:r>
    </w:p>
  </w:footnote>
  <w:footnote w:type="continuationSeparator" w:id="0">
    <w:p w14:paraId="593AC0AE" w14:textId="77777777" w:rsidR="006A32F4" w:rsidRDefault="006A32F4" w:rsidP="00022F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92223"/>
    <w:multiLevelType w:val="hybridMultilevel"/>
    <w:tmpl w:val="D8189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5C3C2A"/>
    <w:multiLevelType w:val="hybridMultilevel"/>
    <w:tmpl w:val="64626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BD4235"/>
    <w:multiLevelType w:val="hybridMultilevel"/>
    <w:tmpl w:val="4352F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AD7FF8"/>
    <w:multiLevelType w:val="hybridMultilevel"/>
    <w:tmpl w:val="620E4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71F3"/>
    <w:rsid w:val="00022FC8"/>
    <w:rsid w:val="00061767"/>
    <w:rsid w:val="000A29BA"/>
    <w:rsid w:val="002500F1"/>
    <w:rsid w:val="00270D29"/>
    <w:rsid w:val="002C3B43"/>
    <w:rsid w:val="003E64C3"/>
    <w:rsid w:val="004242F8"/>
    <w:rsid w:val="00432CFF"/>
    <w:rsid w:val="00451B5E"/>
    <w:rsid w:val="004D3733"/>
    <w:rsid w:val="006071F3"/>
    <w:rsid w:val="00695DB6"/>
    <w:rsid w:val="006A32F4"/>
    <w:rsid w:val="0079087C"/>
    <w:rsid w:val="007F573A"/>
    <w:rsid w:val="00842B08"/>
    <w:rsid w:val="009E626F"/>
    <w:rsid w:val="00AB2E2F"/>
    <w:rsid w:val="00AE3EB8"/>
    <w:rsid w:val="00B47A3E"/>
    <w:rsid w:val="00B641EE"/>
    <w:rsid w:val="00BC2BD6"/>
    <w:rsid w:val="00DE4863"/>
    <w:rsid w:val="00E07612"/>
    <w:rsid w:val="00E321E7"/>
    <w:rsid w:val="00E3257D"/>
    <w:rsid w:val="00EA17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036025"/>
  <w15:docId w15:val="{04DC4CD3-D789-144C-A2DD-636BFFE14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071F3"/>
    <w:rPr>
      <w:b/>
      <w:bCs/>
    </w:rPr>
  </w:style>
  <w:style w:type="paragraph" w:styleId="ListParagraph">
    <w:name w:val="List Paragraph"/>
    <w:basedOn w:val="Normal"/>
    <w:uiPriority w:val="34"/>
    <w:qFormat/>
    <w:rsid w:val="00022FC8"/>
    <w:pPr>
      <w:ind w:left="720"/>
      <w:contextualSpacing/>
    </w:pPr>
    <w:rPr>
      <w:rFonts w:ascii="Times New Roman" w:eastAsia="Times New Roman" w:hAnsi="Times New Roman" w:cs="Times New Roman"/>
    </w:rPr>
  </w:style>
  <w:style w:type="paragraph" w:styleId="NormalWeb">
    <w:name w:val="Normal (Web)"/>
    <w:basedOn w:val="Normal"/>
    <w:uiPriority w:val="99"/>
    <w:unhideWhenUsed/>
    <w:rsid w:val="00022FC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semiHidden/>
    <w:unhideWhenUsed/>
    <w:rsid w:val="00022FC8"/>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022FC8"/>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022FC8"/>
    <w:rPr>
      <w:vertAlign w:val="superscript"/>
    </w:rPr>
  </w:style>
  <w:style w:type="character" w:styleId="Hyperlink">
    <w:name w:val="Hyperlink"/>
    <w:basedOn w:val="DefaultParagraphFont"/>
    <w:uiPriority w:val="99"/>
    <w:unhideWhenUsed/>
    <w:rsid w:val="00BC2BD6"/>
    <w:rPr>
      <w:color w:val="0000FF"/>
      <w:u w:val="single"/>
    </w:rPr>
  </w:style>
  <w:style w:type="character" w:customStyle="1" w:styleId="meta-authors--limited">
    <w:name w:val="meta-authors--limited"/>
    <w:basedOn w:val="DefaultParagraphFont"/>
    <w:rsid w:val="00BC2BD6"/>
  </w:style>
  <w:style w:type="character" w:customStyle="1" w:styleId="al-author-delim">
    <w:name w:val="al-author-delim"/>
    <w:basedOn w:val="DefaultParagraphFont"/>
    <w:rsid w:val="00BC2BD6"/>
  </w:style>
  <w:style w:type="character" w:customStyle="1" w:styleId="meta-citation-journal-name">
    <w:name w:val="meta-citation-journal-name"/>
    <w:basedOn w:val="DefaultParagraphFont"/>
    <w:rsid w:val="00BC2BD6"/>
  </w:style>
  <w:style w:type="character" w:customStyle="1" w:styleId="meta-citation">
    <w:name w:val="meta-citation"/>
    <w:basedOn w:val="DefaultParagraphFont"/>
    <w:rsid w:val="00BC2BD6"/>
  </w:style>
  <w:style w:type="character" w:customStyle="1" w:styleId="widont">
    <w:name w:val="widont"/>
    <w:basedOn w:val="DefaultParagraphFont"/>
    <w:rsid w:val="00BC2BD6"/>
  </w:style>
  <w:style w:type="character" w:customStyle="1" w:styleId="UnresolvedMention1">
    <w:name w:val="Unresolved Mention1"/>
    <w:basedOn w:val="DefaultParagraphFont"/>
    <w:uiPriority w:val="99"/>
    <w:rsid w:val="00432C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9049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jamanetwork.com/searchresults?author=Xiao-Wen+Zeng&amp;q=Xiao-Wen+Zeng" TargetMode="External"/><Relationship Id="rId2" Type="http://schemas.openxmlformats.org/officeDocument/2006/relationships/hyperlink" Target="https://jamanetwork.com/searchresults?author=Bo-Yi+Yang&amp;q=Bo-Yi+Yang" TargetMode="External"/><Relationship Id="rId1" Type="http://schemas.openxmlformats.org/officeDocument/2006/relationships/hyperlink" Target="https://ellisonchair.tamu.edu/health-and-well-being-benefits-of-plants/" TargetMode="External"/><Relationship Id="rId6" Type="http://schemas.openxmlformats.org/officeDocument/2006/relationships/hyperlink" Target="https://www.treeequityscore.org/map/" TargetMode="External"/><Relationship Id="rId5" Type="http://schemas.openxmlformats.org/officeDocument/2006/relationships/hyperlink" Target="https://doi.org/10.3390/cli8010012" TargetMode="External"/><Relationship Id="rId4" Type="http://schemas.openxmlformats.org/officeDocument/2006/relationships/hyperlink" Target="https://jamanetwork.com/searchresults?author=Iana+Markevych&amp;q=Iana+Markev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541</Words>
  <Characters>3089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Cahill</dc:creator>
  <cp:keywords/>
  <dc:description/>
  <cp:lastModifiedBy>Microsoft Office User</cp:lastModifiedBy>
  <cp:revision>2</cp:revision>
  <cp:lastPrinted>2021-07-18T16:36:00Z</cp:lastPrinted>
  <dcterms:created xsi:type="dcterms:W3CDTF">2021-08-09T14:47:00Z</dcterms:created>
  <dcterms:modified xsi:type="dcterms:W3CDTF">2021-08-09T14:47:00Z</dcterms:modified>
</cp:coreProperties>
</file>